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A0CE5" w:rsidRDefault="00DA0CE5" w:rsidP="00DA0CE5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0"/>
          <w:szCs w:val="30"/>
        </w:rPr>
      </w:pPr>
      <w:bookmarkStart w:id="0" w:name="_GoBack"/>
      <w:r w:rsidRPr="00DA0CE5">
        <w:rPr>
          <w:b/>
          <w:color w:val="8A8C8E"/>
          <w:sz w:val="30"/>
          <w:szCs w:val="30"/>
        </w:rPr>
        <w:t xml:space="preserve">                </w:t>
      </w:r>
      <w:r w:rsidR="009B4B80" w:rsidRPr="00DA0CE5">
        <w:rPr>
          <w:b/>
          <w:color w:val="1F497D" w:themeColor="text2"/>
          <w:sz w:val="30"/>
          <w:szCs w:val="30"/>
        </w:rPr>
        <w:t>Уважаемые налогоплательщики!</w:t>
      </w:r>
    </w:p>
    <w:bookmarkEnd w:id="0"/>
    <w:p w:rsidR="00DA0CE5" w:rsidRDefault="00DA0CE5" w:rsidP="00DA0CE5">
      <w:pPr>
        <w:spacing w:line="360" w:lineRule="auto"/>
        <w:jc w:val="center"/>
        <w:rPr>
          <w:b/>
          <w:color w:val="1F497D" w:themeColor="text2"/>
          <w:sz w:val="28"/>
          <w:szCs w:val="32"/>
        </w:rPr>
      </w:pPr>
    </w:p>
    <w:p w:rsidR="00DA0CE5" w:rsidRPr="00DA0CE5" w:rsidRDefault="009B4B80" w:rsidP="00DA0CE5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DA0CE5">
        <w:rPr>
          <w:sz w:val="30"/>
          <w:szCs w:val="30"/>
        </w:rPr>
        <w:t>Межрайонная</w:t>
      </w:r>
      <w:proofErr w:type="gramEnd"/>
      <w:r w:rsidRPr="00DA0CE5">
        <w:rPr>
          <w:sz w:val="30"/>
          <w:szCs w:val="30"/>
        </w:rPr>
        <w:t xml:space="preserve"> ИФНС России №</w:t>
      </w:r>
      <w:r w:rsidR="00D514F4" w:rsidRPr="00DA0CE5">
        <w:rPr>
          <w:sz w:val="30"/>
          <w:szCs w:val="30"/>
        </w:rPr>
        <w:t xml:space="preserve"> </w:t>
      </w:r>
      <w:r w:rsidRPr="00DA0CE5">
        <w:rPr>
          <w:sz w:val="30"/>
          <w:szCs w:val="30"/>
        </w:rPr>
        <w:t>7</w:t>
      </w:r>
      <w:r w:rsidR="001E5053" w:rsidRPr="00DA0CE5">
        <w:rPr>
          <w:sz w:val="30"/>
          <w:szCs w:val="30"/>
        </w:rPr>
        <w:t xml:space="preserve"> </w:t>
      </w:r>
      <w:r w:rsidRPr="00DA0CE5">
        <w:rPr>
          <w:sz w:val="30"/>
          <w:szCs w:val="30"/>
        </w:rPr>
        <w:t>по Ханты-М</w:t>
      </w:r>
      <w:r w:rsidR="00107149" w:rsidRPr="00DA0CE5">
        <w:rPr>
          <w:sz w:val="30"/>
          <w:szCs w:val="30"/>
        </w:rPr>
        <w:t>ансийскому автономному округу –</w:t>
      </w:r>
      <w:r w:rsidR="0095132B" w:rsidRPr="00DA0CE5">
        <w:rPr>
          <w:sz w:val="30"/>
          <w:szCs w:val="30"/>
        </w:rPr>
        <w:t xml:space="preserve"> </w:t>
      </w:r>
      <w:r w:rsidRPr="00DA0CE5">
        <w:rPr>
          <w:sz w:val="30"/>
          <w:szCs w:val="30"/>
        </w:rPr>
        <w:t xml:space="preserve">Югре </w:t>
      </w:r>
      <w:r w:rsidR="00DA0CE5" w:rsidRPr="00DA0CE5">
        <w:rPr>
          <w:sz w:val="30"/>
          <w:szCs w:val="30"/>
        </w:rPr>
        <w:t xml:space="preserve">сообщает об </w:t>
      </w:r>
      <w:r w:rsidR="00DA0CE5" w:rsidRPr="00DA0CE5">
        <w:rPr>
          <w:sz w:val="30"/>
          <w:szCs w:val="30"/>
        </w:rPr>
        <w:t>изменении наименования получателя, подлежа</w:t>
      </w:r>
      <w:r w:rsidR="00DA0CE5" w:rsidRPr="00DA0CE5">
        <w:rPr>
          <w:sz w:val="30"/>
          <w:szCs w:val="30"/>
        </w:rPr>
        <w:t>щего</w:t>
      </w:r>
      <w:r w:rsidR="00DA0CE5">
        <w:rPr>
          <w:sz w:val="30"/>
          <w:szCs w:val="30"/>
        </w:rPr>
        <w:t xml:space="preserve"> </w:t>
      </w:r>
      <w:r w:rsidR="00DA0CE5" w:rsidRPr="00DA0CE5">
        <w:rPr>
          <w:sz w:val="30"/>
          <w:szCs w:val="30"/>
        </w:rPr>
        <w:t>указанию при перечислении платежей, админ</w:t>
      </w:r>
      <w:r w:rsidR="00DA0CE5" w:rsidRPr="00DA0CE5">
        <w:rPr>
          <w:sz w:val="30"/>
          <w:szCs w:val="30"/>
        </w:rPr>
        <w:t xml:space="preserve">истрируемых налоговыми органами </w:t>
      </w:r>
      <w:r w:rsidR="00DA0CE5" w:rsidRPr="00DA0CE5">
        <w:rPr>
          <w:sz w:val="30"/>
          <w:szCs w:val="30"/>
        </w:rPr>
        <w:t>(иные реквизиты получателя платежа остаются без изменений):</w:t>
      </w:r>
    </w:p>
    <w:tbl>
      <w:tblPr>
        <w:tblStyle w:val="TableNormal"/>
        <w:tblpPr w:leftFromText="180" w:rightFromText="180" w:vertAnchor="text" w:horzAnchor="margin" w:tblpY="24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653"/>
        <w:gridCol w:w="4251"/>
      </w:tblGrid>
      <w:tr w:rsidR="00DA0CE5" w:rsidRPr="00DA0CE5" w:rsidTr="00DA0CE5">
        <w:trPr>
          <w:trHeight w:val="1288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ind w:left="165" w:right="158"/>
              <w:jc w:val="center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Номер</w:t>
            </w:r>
            <w:proofErr w:type="spellEnd"/>
            <w:r w:rsidRPr="00DA0CE5">
              <w:rPr>
                <w:sz w:val="30"/>
                <w:szCs w:val="30"/>
              </w:rPr>
              <w:t xml:space="preserve"> (</w:t>
            </w:r>
            <w:proofErr w:type="spellStart"/>
            <w:r w:rsidRPr="00DA0CE5">
              <w:rPr>
                <w:sz w:val="30"/>
                <w:szCs w:val="30"/>
              </w:rPr>
              <w:t>поля</w:t>
            </w:r>
            <w:proofErr w:type="spellEnd"/>
            <w:r w:rsidRPr="00DA0CE5">
              <w:rPr>
                <w:sz w:val="30"/>
                <w:szCs w:val="30"/>
              </w:rPr>
              <w:t>)</w:t>
            </w:r>
          </w:p>
          <w:p w:rsidR="00DA0CE5" w:rsidRPr="00DA0CE5" w:rsidRDefault="00DA0CE5" w:rsidP="00DA0CE5">
            <w:pPr>
              <w:pStyle w:val="TableParagraph"/>
              <w:spacing w:line="322" w:lineRule="exact"/>
              <w:ind w:left="165" w:right="158"/>
              <w:jc w:val="center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платежного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документа</w:t>
            </w:r>
            <w:proofErr w:type="spellEnd"/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spacing w:before="1" w:line="242" w:lineRule="auto"/>
              <w:ind w:left="462" w:right="435" w:firstLine="81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Наименование</w:t>
            </w:r>
            <w:proofErr w:type="spellEnd"/>
            <w:r w:rsidRPr="00DA0CE5">
              <w:rPr>
                <w:sz w:val="30"/>
                <w:szCs w:val="30"/>
              </w:rPr>
              <w:t xml:space="preserve"> (</w:t>
            </w:r>
            <w:proofErr w:type="spellStart"/>
            <w:r w:rsidRPr="00DA0CE5">
              <w:rPr>
                <w:sz w:val="30"/>
                <w:szCs w:val="30"/>
              </w:rPr>
              <w:t>поля</w:t>
            </w:r>
            <w:proofErr w:type="spellEnd"/>
            <w:r w:rsidRPr="00DA0CE5">
              <w:rPr>
                <w:sz w:val="30"/>
                <w:szCs w:val="30"/>
              </w:rPr>
              <w:t xml:space="preserve">) </w:t>
            </w:r>
            <w:proofErr w:type="spellStart"/>
            <w:r w:rsidRPr="00DA0CE5">
              <w:rPr>
                <w:sz w:val="30"/>
                <w:szCs w:val="30"/>
              </w:rPr>
              <w:t>платежного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документа</w:t>
            </w:r>
            <w:proofErr w:type="spellEnd"/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before="6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393" w:right="385"/>
              <w:jc w:val="center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Значение</w:t>
            </w:r>
            <w:proofErr w:type="spellEnd"/>
          </w:p>
        </w:tc>
      </w:tr>
      <w:tr w:rsidR="00DA0CE5" w:rsidRPr="00DA0CE5" w:rsidTr="00DA0CE5">
        <w:trPr>
          <w:trHeight w:val="967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spacing w:before="1"/>
              <w:ind w:left="165" w:right="154"/>
              <w:jc w:val="center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13</w:t>
            </w:r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spacing w:before="153"/>
              <w:ind w:left="659" w:right="551" w:hanging="82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Наименование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банка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получателя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средств</w:t>
            </w:r>
            <w:proofErr w:type="spellEnd"/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line="315" w:lineRule="exact"/>
              <w:ind w:left="290"/>
              <w:rPr>
                <w:sz w:val="30"/>
                <w:szCs w:val="30"/>
                <w:lang w:val="ru-RU"/>
              </w:rPr>
            </w:pPr>
            <w:r w:rsidRPr="00DA0CE5">
              <w:rPr>
                <w:sz w:val="30"/>
                <w:szCs w:val="30"/>
                <w:lang w:val="ru-RU"/>
              </w:rPr>
              <w:t>«ОТДЕЛЕНИЕ ТУЛА БАНКА</w:t>
            </w:r>
          </w:p>
          <w:p w:rsidR="00DA0CE5" w:rsidRPr="00DA0CE5" w:rsidRDefault="00DA0CE5" w:rsidP="00DA0CE5">
            <w:pPr>
              <w:pStyle w:val="TableParagraph"/>
              <w:spacing w:before="3" w:line="322" w:lineRule="exact"/>
              <w:ind w:left="393" w:right="390"/>
              <w:jc w:val="center"/>
              <w:rPr>
                <w:sz w:val="30"/>
                <w:szCs w:val="30"/>
                <w:lang w:val="ru-RU"/>
              </w:rPr>
            </w:pPr>
            <w:r w:rsidRPr="00DA0CE5">
              <w:rPr>
                <w:sz w:val="30"/>
                <w:szCs w:val="30"/>
                <w:lang w:val="ru-RU"/>
              </w:rPr>
              <w:t>РОССИИ//УФК по Тульской области, г. Тула»</w:t>
            </w:r>
          </w:p>
        </w:tc>
      </w:tr>
      <w:tr w:rsidR="00DA0CE5" w:rsidRPr="00DA0CE5" w:rsidTr="00DA0CE5">
        <w:trPr>
          <w:trHeight w:val="1084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spacing w:before="4"/>
              <w:rPr>
                <w:sz w:val="30"/>
                <w:szCs w:val="30"/>
                <w:lang w:val="ru-RU"/>
              </w:rPr>
            </w:pPr>
          </w:p>
          <w:p w:rsidR="00DA0CE5" w:rsidRPr="00DA0CE5" w:rsidRDefault="00DA0CE5" w:rsidP="00DA0CE5">
            <w:pPr>
              <w:pStyle w:val="TableParagraph"/>
              <w:ind w:left="165" w:right="154"/>
              <w:jc w:val="center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14</w:t>
            </w:r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spacing w:before="211" w:line="242" w:lineRule="auto"/>
              <w:ind w:left="541" w:right="440" w:hanging="75"/>
              <w:rPr>
                <w:sz w:val="30"/>
                <w:szCs w:val="30"/>
                <w:lang w:val="ru-RU"/>
              </w:rPr>
            </w:pPr>
            <w:r w:rsidRPr="00DA0CE5">
              <w:rPr>
                <w:sz w:val="30"/>
                <w:szCs w:val="30"/>
                <w:lang w:val="ru-RU"/>
              </w:rPr>
              <w:t>БИК банка получателя средств (БИК ТОФК)</w:t>
            </w:r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before="4"/>
              <w:rPr>
                <w:sz w:val="30"/>
                <w:szCs w:val="30"/>
                <w:lang w:val="ru-RU"/>
              </w:rPr>
            </w:pPr>
          </w:p>
          <w:p w:rsidR="00DA0CE5" w:rsidRPr="00DA0CE5" w:rsidRDefault="00DA0CE5" w:rsidP="00DA0CE5">
            <w:pPr>
              <w:pStyle w:val="TableParagraph"/>
              <w:ind w:left="393" w:right="386"/>
              <w:jc w:val="center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«017003983»</w:t>
            </w:r>
          </w:p>
        </w:tc>
      </w:tr>
      <w:tr w:rsidR="00DA0CE5" w:rsidRPr="00DA0CE5" w:rsidTr="00DA0CE5">
        <w:trPr>
          <w:trHeight w:val="1286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spacing w:before="4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165" w:right="154"/>
              <w:jc w:val="center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15</w:t>
            </w:r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ind w:left="138" w:right="127"/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DA0CE5">
              <w:rPr>
                <w:sz w:val="30"/>
                <w:szCs w:val="30"/>
                <w:lang w:val="ru-RU"/>
              </w:rPr>
              <w:t>№ счета получателя средств (номер банковского счета, входящего в состав единого</w:t>
            </w:r>
            <w:proofErr w:type="gramEnd"/>
          </w:p>
          <w:p w:rsidR="00DA0CE5" w:rsidRPr="00DA0CE5" w:rsidRDefault="00DA0CE5" w:rsidP="00DA0CE5">
            <w:pPr>
              <w:pStyle w:val="TableParagraph"/>
              <w:spacing w:line="308" w:lineRule="exact"/>
              <w:ind w:left="136" w:right="127"/>
              <w:jc w:val="center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казначейского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счета</w:t>
            </w:r>
            <w:proofErr w:type="spellEnd"/>
            <w:r w:rsidRPr="00DA0CE5">
              <w:rPr>
                <w:sz w:val="30"/>
                <w:szCs w:val="30"/>
              </w:rPr>
              <w:t>)</w:t>
            </w:r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before="4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583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«40102810445370000059»</w:t>
            </w:r>
          </w:p>
        </w:tc>
      </w:tr>
      <w:tr w:rsidR="00DA0CE5" w:rsidRPr="00DA0CE5" w:rsidTr="00DA0CE5">
        <w:trPr>
          <w:trHeight w:val="1084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165" w:right="154"/>
              <w:jc w:val="center"/>
              <w:rPr>
                <w:b/>
                <w:sz w:val="30"/>
                <w:szCs w:val="30"/>
              </w:rPr>
            </w:pPr>
            <w:r w:rsidRPr="00DA0CE5"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spacing w:before="11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138" w:right="126"/>
              <w:jc w:val="center"/>
              <w:rPr>
                <w:b/>
                <w:sz w:val="30"/>
                <w:szCs w:val="30"/>
              </w:rPr>
            </w:pPr>
            <w:r w:rsidRPr="00DA0CE5">
              <w:rPr>
                <w:b/>
                <w:sz w:val="30"/>
                <w:szCs w:val="30"/>
              </w:rPr>
              <w:t>ПОЛУЧАТЕЛЬ</w:t>
            </w:r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before="218"/>
              <w:ind w:left="1565" w:right="264" w:hanging="1278"/>
              <w:rPr>
                <w:b/>
                <w:sz w:val="30"/>
                <w:szCs w:val="30"/>
              </w:rPr>
            </w:pPr>
            <w:r w:rsidRPr="00DA0CE5">
              <w:rPr>
                <w:b/>
                <w:sz w:val="30"/>
                <w:szCs w:val="30"/>
              </w:rPr>
              <w:t>«</w:t>
            </w:r>
            <w:proofErr w:type="spellStart"/>
            <w:r w:rsidRPr="00DA0CE5">
              <w:rPr>
                <w:b/>
                <w:sz w:val="30"/>
                <w:szCs w:val="30"/>
              </w:rPr>
              <w:t>Казначейство</w:t>
            </w:r>
            <w:proofErr w:type="spellEnd"/>
            <w:r w:rsidRPr="00DA0CE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b/>
                <w:sz w:val="30"/>
                <w:szCs w:val="30"/>
              </w:rPr>
              <w:t>России</w:t>
            </w:r>
            <w:proofErr w:type="spellEnd"/>
            <w:r w:rsidRPr="00DA0CE5">
              <w:rPr>
                <w:b/>
                <w:sz w:val="30"/>
                <w:szCs w:val="30"/>
              </w:rPr>
              <w:t xml:space="preserve"> (ФНС </w:t>
            </w:r>
            <w:proofErr w:type="spellStart"/>
            <w:r w:rsidRPr="00DA0CE5">
              <w:rPr>
                <w:b/>
                <w:sz w:val="30"/>
                <w:szCs w:val="30"/>
              </w:rPr>
              <w:t>России</w:t>
            </w:r>
            <w:proofErr w:type="spellEnd"/>
            <w:r w:rsidRPr="00DA0CE5">
              <w:rPr>
                <w:b/>
                <w:sz w:val="30"/>
                <w:szCs w:val="30"/>
              </w:rPr>
              <w:t>)»</w:t>
            </w:r>
          </w:p>
        </w:tc>
      </w:tr>
      <w:tr w:rsidR="00DA0CE5" w:rsidRPr="00DA0CE5" w:rsidTr="00DA0CE5">
        <w:trPr>
          <w:trHeight w:val="1084"/>
        </w:trPr>
        <w:tc>
          <w:tcPr>
            <w:tcW w:w="1736" w:type="dxa"/>
          </w:tcPr>
          <w:p w:rsidR="00DA0CE5" w:rsidRPr="00DA0CE5" w:rsidRDefault="00DA0CE5" w:rsidP="00DA0CE5">
            <w:pPr>
              <w:pStyle w:val="TableParagraph"/>
              <w:spacing w:before="6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165" w:right="154"/>
              <w:jc w:val="center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17</w:t>
            </w:r>
          </w:p>
        </w:tc>
        <w:tc>
          <w:tcPr>
            <w:tcW w:w="3653" w:type="dxa"/>
          </w:tcPr>
          <w:p w:rsidR="00DA0CE5" w:rsidRPr="00DA0CE5" w:rsidRDefault="00DA0CE5" w:rsidP="00DA0CE5">
            <w:pPr>
              <w:pStyle w:val="TableParagraph"/>
              <w:spacing w:before="6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135" w:right="127"/>
              <w:jc w:val="center"/>
              <w:rPr>
                <w:sz w:val="30"/>
                <w:szCs w:val="30"/>
              </w:rPr>
            </w:pPr>
            <w:proofErr w:type="spellStart"/>
            <w:r w:rsidRPr="00DA0CE5">
              <w:rPr>
                <w:sz w:val="30"/>
                <w:szCs w:val="30"/>
              </w:rPr>
              <w:t>Номер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казначейского</w:t>
            </w:r>
            <w:proofErr w:type="spellEnd"/>
            <w:r w:rsidRPr="00DA0CE5">
              <w:rPr>
                <w:sz w:val="30"/>
                <w:szCs w:val="30"/>
              </w:rPr>
              <w:t xml:space="preserve"> </w:t>
            </w:r>
            <w:proofErr w:type="spellStart"/>
            <w:r w:rsidRPr="00DA0CE5">
              <w:rPr>
                <w:sz w:val="30"/>
                <w:szCs w:val="30"/>
              </w:rPr>
              <w:t>счета</w:t>
            </w:r>
            <w:proofErr w:type="spellEnd"/>
          </w:p>
        </w:tc>
        <w:tc>
          <w:tcPr>
            <w:tcW w:w="4251" w:type="dxa"/>
          </w:tcPr>
          <w:p w:rsidR="00DA0CE5" w:rsidRPr="00DA0CE5" w:rsidRDefault="00DA0CE5" w:rsidP="00DA0CE5">
            <w:pPr>
              <w:pStyle w:val="TableParagraph"/>
              <w:spacing w:before="6"/>
              <w:rPr>
                <w:sz w:val="30"/>
                <w:szCs w:val="30"/>
              </w:rPr>
            </w:pPr>
          </w:p>
          <w:p w:rsidR="00DA0CE5" w:rsidRPr="00DA0CE5" w:rsidRDefault="00DA0CE5" w:rsidP="00DA0CE5">
            <w:pPr>
              <w:pStyle w:val="TableParagraph"/>
              <w:ind w:left="583"/>
              <w:rPr>
                <w:sz w:val="30"/>
                <w:szCs w:val="30"/>
              </w:rPr>
            </w:pPr>
            <w:r w:rsidRPr="00DA0CE5">
              <w:rPr>
                <w:sz w:val="30"/>
                <w:szCs w:val="30"/>
              </w:rPr>
              <w:t>«03100643000000018500»</w:t>
            </w:r>
          </w:p>
        </w:tc>
      </w:tr>
    </w:tbl>
    <w:p w:rsidR="00DA0CE5" w:rsidRPr="00DA0CE5" w:rsidRDefault="00DA0CE5" w:rsidP="00DA0CE5">
      <w:pPr>
        <w:pStyle w:val="a8"/>
        <w:spacing w:before="6" w:after="1"/>
        <w:rPr>
          <w:sz w:val="30"/>
          <w:szCs w:val="30"/>
        </w:rPr>
      </w:pPr>
    </w:p>
    <w:p w:rsidR="00DA0CE5" w:rsidRPr="00DA0CE5" w:rsidRDefault="00DA0CE5" w:rsidP="00DA0CE5">
      <w:pPr>
        <w:pStyle w:val="a8"/>
        <w:spacing w:before="1" w:line="360" w:lineRule="auto"/>
        <w:ind w:right="120" w:firstLine="707"/>
        <w:jc w:val="both"/>
        <w:rPr>
          <w:sz w:val="30"/>
          <w:szCs w:val="30"/>
        </w:rPr>
      </w:pPr>
      <w:proofErr w:type="gramStart"/>
      <w:r w:rsidRPr="00DA0CE5">
        <w:rPr>
          <w:sz w:val="30"/>
          <w:szCs w:val="30"/>
        </w:rPr>
        <w:t xml:space="preserve">Федеральное казначейство сообщает, что прямые участники системы казначейских платежей в реквизите «Получатель» при </w:t>
      </w:r>
      <w:r w:rsidRPr="00DA0CE5">
        <w:rPr>
          <w:sz w:val="30"/>
          <w:szCs w:val="30"/>
        </w:rPr>
        <w:lastRenderedPageBreak/>
        <w:t>составлении распоряжения юридического лица (распоряжения финансового органа) в виде платежного поручения, оформленного в соответствии с требованиями Банка России (далее – платежное поручение), и в реквизите «Наименование/фамилия, имя, отчество» при составлении распоряжения о совершении казначейского платежа в виде Заявки на кассовый расход (код формы 0531801) (далее – Заявка на</w:t>
      </w:r>
      <w:proofErr w:type="gramEnd"/>
      <w:r w:rsidRPr="00DA0CE5">
        <w:rPr>
          <w:sz w:val="30"/>
          <w:szCs w:val="30"/>
        </w:rPr>
        <w:t xml:space="preserve"> кассовый расход), оформленного в соответствии с порядком, установленным Федеральным казначейством, </w:t>
      </w:r>
      <w:proofErr w:type="gramStart"/>
      <w:r w:rsidRPr="00DA0CE5">
        <w:rPr>
          <w:sz w:val="30"/>
          <w:szCs w:val="30"/>
        </w:rPr>
        <w:t>сформированные</w:t>
      </w:r>
      <w:proofErr w:type="gramEnd"/>
      <w:r w:rsidRPr="00DA0CE5">
        <w:rPr>
          <w:sz w:val="30"/>
          <w:szCs w:val="30"/>
        </w:rPr>
        <w:t xml:space="preserve"> в том числе с использованием единой информационной системе в сфере закупок (далее ГИС ЕИС), на перечисление единого налогового платежа и иных платежей, администрируемых налоговыми органами, указывают: «Казначейство России (ФНС России)», при этом реквизит «Лицевой счет» раздела 3 «Реквизиты контрагента» Заявки на кассовый расход не подлежат заполнению.</w:t>
      </w:r>
    </w:p>
    <w:p w:rsidR="00DA0CE5" w:rsidRPr="00DA0CE5" w:rsidRDefault="00DA0CE5" w:rsidP="00DA0CE5">
      <w:pPr>
        <w:pStyle w:val="a8"/>
        <w:spacing w:before="3" w:line="360" w:lineRule="auto"/>
        <w:ind w:right="128" w:firstLine="707"/>
        <w:jc w:val="both"/>
        <w:rPr>
          <w:sz w:val="30"/>
          <w:szCs w:val="30"/>
        </w:rPr>
      </w:pPr>
      <w:r w:rsidRPr="00DA0CE5">
        <w:rPr>
          <w:sz w:val="30"/>
          <w:szCs w:val="30"/>
        </w:rPr>
        <w:t>Дополнительно сообщается, что в реквизите «Назначение платежа» Заявки на кассовый расход, сформированный в ГИС ЕИС, на перечисление единого налогового платежа и иных платежей, администрируемых налоговыми органами, не указывается код классификации расходов бюджетов.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-306705</wp:posOffset>
                </wp:positionH>
                <wp:positionV relativeFrom="paragraph">
                  <wp:posOffset>2433320</wp:posOffset>
                </wp:positionV>
                <wp:extent cx="6505575" cy="950595"/>
                <wp:effectExtent l="57150" t="57150" r="85725" b="7810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505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4.15pt;margin-top:191.6pt;width:512.25pt;height:7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A0CE5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A0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A0CE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A0C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0CE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A0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A0CE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A0C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0CE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2FA2-7D72-46C2-A3DE-C773C46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26</cp:revision>
  <cp:lastPrinted>2023-02-16T05:26:00Z</cp:lastPrinted>
  <dcterms:created xsi:type="dcterms:W3CDTF">2023-01-18T10:55:00Z</dcterms:created>
  <dcterms:modified xsi:type="dcterms:W3CDTF">2023-05-18T11:34:00Z</dcterms:modified>
</cp:coreProperties>
</file>